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29078E">
        <w:tc>
          <w:tcPr>
            <w:tcW w:w="289" w:type="dxa"/>
            <w:shd w:val="clear" w:color="FFFFFF" w:fill="auto"/>
          </w:tcPr>
          <w:p w:rsidR="00736499" w:rsidRDefault="00736499">
            <w:pPr>
              <w:pStyle w:val="1CStyle-1"/>
              <w:jc w:val="left"/>
            </w:pPr>
            <w:bookmarkStart w:id="0" w:name="_GoBack"/>
            <w:bookmarkEnd w:id="0"/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</w:tr>
      <w:tr w:rsidR="0029078E">
        <w:tc>
          <w:tcPr>
            <w:tcW w:w="289" w:type="dxa"/>
            <w:shd w:val="clear" w:color="FFFFFF" w:fill="auto"/>
          </w:tcPr>
          <w:p w:rsidR="00736499" w:rsidRDefault="00736499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</w:tr>
      <w:tr w:rsidR="00736499">
        <w:tc>
          <w:tcPr>
            <w:tcW w:w="14450" w:type="dxa"/>
            <w:gridSpan w:val="50"/>
            <w:shd w:val="clear" w:color="FFFFFF" w:fill="auto"/>
            <w:vAlign w:val="bottom"/>
          </w:tcPr>
          <w:p w:rsidR="00736499" w:rsidRDefault="0006490B">
            <w:pPr>
              <w:pStyle w:val="1CStyle1"/>
            </w:pPr>
            <w:r>
              <w:t>Техническое задание по Лоту №1</w:t>
            </w:r>
          </w:p>
        </w:tc>
      </w:tr>
      <w:tr w:rsidR="00736499">
        <w:tc>
          <w:tcPr>
            <w:tcW w:w="14450" w:type="dxa"/>
            <w:gridSpan w:val="50"/>
            <w:shd w:val="clear" w:color="FFFFFF" w:fill="auto"/>
            <w:vAlign w:val="bottom"/>
          </w:tcPr>
          <w:p w:rsidR="00736499" w:rsidRDefault="0006490B">
            <w:pPr>
              <w:pStyle w:val="1CStyle1"/>
            </w:pPr>
            <w:r>
              <w:t>По открытому запросу предложений  в электронной форме № 110 840</w:t>
            </w:r>
          </w:p>
        </w:tc>
      </w:tr>
      <w:tr w:rsidR="00736499">
        <w:tc>
          <w:tcPr>
            <w:tcW w:w="14450" w:type="dxa"/>
            <w:gridSpan w:val="50"/>
            <w:shd w:val="clear" w:color="FFFFFF" w:fill="auto"/>
            <w:vAlign w:val="bottom"/>
          </w:tcPr>
          <w:p w:rsidR="00736499" w:rsidRDefault="0006490B">
            <w:pPr>
              <w:pStyle w:val="1CStyle1"/>
            </w:pPr>
            <w:r>
              <w:t>Для нужд: АО "Газпром газораспределение Брянск"</w:t>
            </w:r>
          </w:p>
        </w:tc>
      </w:tr>
      <w:tr w:rsidR="0029078E">
        <w:tc>
          <w:tcPr>
            <w:tcW w:w="289" w:type="dxa"/>
            <w:shd w:val="clear" w:color="FFFFFF" w:fill="auto"/>
          </w:tcPr>
          <w:p w:rsidR="00736499" w:rsidRDefault="00736499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</w:tr>
      <w:tr w:rsidR="0029078E">
        <w:tc>
          <w:tcPr>
            <w:tcW w:w="289" w:type="dxa"/>
            <w:shd w:val="clear" w:color="FFFFFF" w:fill="auto"/>
          </w:tcPr>
          <w:p w:rsidR="00736499" w:rsidRDefault="00736499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</w:tr>
      <w:tr w:rsidR="0029078E">
        <w:tc>
          <w:tcPr>
            <w:tcW w:w="289" w:type="dxa"/>
            <w:shd w:val="clear" w:color="FFFFFF" w:fill="auto"/>
          </w:tcPr>
          <w:p w:rsidR="00736499" w:rsidRDefault="00736499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</w:tr>
      <w:tr w:rsidR="0029078E">
        <w:tc>
          <w:tcPr>
            <w:tcW w:w="289" w:type="dxa"/>
            <w:shd w:val="clear" w:color="FFFFFF" w:fill="auto"/>
          </w:tcPr>
          <w:p w:rsidR="00736499" w:rsidRDefault="00736499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  <w:jc w:val="left"/>
            </w:pPr>
          </w:p>
        </w:tc>
      </w:tr>
      <w:tr w:rsidR="00736499"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4"/>
              <w:jc w:val="left"/>
            </w:pPr>
            <w:r>
              <w:t>ОКВЭД</w:t>
            </w:r>
          </w:p>
        </w:tc>
      </w:tr>
      <w:tr w:rsidR="00736499"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736499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736499">
            <w:pPr>
              <w:pStyle w:val="1CStyle5"/>
              <w:jc w:val="left"/>
            </w:pPr>
          </w:p>
        </w:tc>
      </w:tr>
      <w:tr w:rsidR="00736499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11"/>
            </w:pPr>
            <w:r>
              <w:t>Место (адрес) поставки товара</w:t>
            </w:r>
          </w:p>
        </w:tc>
      </w:tr>
      <w:tr w:rsidR="00736499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13"/>
              <w:jc w:val="left"/>
            </w:pPr>
            <w:r>
              <w:t>Рентгеновский аппарат ПАМИР-200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14"/>
            </w:pPr>
            <w:r>
              <w:t>1,000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13"/>
              <w:jc w:val="left"/>
            </w:pPr>
            <w:r>
              <w:t>АО "Газпром газораспределение Брянск"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13"/>
              <w:jc w:val="left"/>
            </w:pPr>
            <w:r>
              <w:t>241033, г. Брянск, ул. Щукина д. 54</w:t>
            </w:r>
          </w:p>
        </w:tc>
      </w:tr>
      <w:tr w:rsidR="00736499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6499" w:rsidRDefault="0006490B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17"/>
              <w:jc w:val="left"/>
            </w:pPr>
            <w:proofErr w:type="gramStart"/>
            <w:r>
              <w:t>Портативный импульсный рентгеновский аппарат ПАМИР-200 предназначен для     использования в качестве источника рентгеновского излучения при неразрушающем контроле материалов методом рентгенографии</w:t>
            </w:r>
            <w:r>
              <w:br/>
              <w:t>Технические характеристики</w:t>
            </w:r>
            <w:r>
              <w:br/>
              <w:t xml:space="preserve">Амплитуда напряжения на рентгеновской трубке, </w:t>
            </w:r>
            <w:proofErr w:type="spellStart"/>
            <w:r>
              <w:t>кВ</w:t>
            </w:r>
            <w:proofErr w:type="spellEnd"/>
            <w:r>
              <w:t xml:space="preserve"> -   200</w:t>
            </w:r>
            <w:r>
              <w:br/>
              <w:t xml:space="preserve">Экспозиционная доза рентгеновского излучения на расстоянии (500 ± 20) мм от торца рентгеновского блока в прямом пучке за 1,5 мин, не менее, </w:t>
            </w:r>
            <w:proofErr w:type="spellStart"/>
            <w:r>
              <w:t>мкКл</w:t>
            </w:r>
            <w:proofErr w:type="spellEnd"/>
            <w:r>
              <w:t>/кг (</w:t>
            </w:r>
            <w:proofErr w:type="spellStart"/>
            <w:r>
              <w:t>мР</w:t>
            </w:r>
            <w:proofErr w:type="spellEnd"/>
            <w:r>
              <w:t>)   -    155 (600)</w:t>
            </w:r>
            <w:r>
              <w:br/>
              <w:t xml:space="preserve">Толщина стали, доступная для </w:t>
            </w:r>
            <w:proofErr w:type="spellStart"/>
            <w:r>
              <w:t>рентгенографирования</w:t>
            </w:r>
            <w:proofErr w:type="spellEnd"/>
            <w:r>
              <w:t xml:space="preserve"> с</w:t>
            </w:r>
            <w:proofErr w:type="gramEnd"/>
            <w:r>
              <w:t xml:space="preserve"> </w:t>
            </w:r>
            <w:proofErr w:type="gramStart"/>
            <w:r>
              <w:t>помощью рентгеновских пленок с флуоресцентными усиливающими экранами, мм  -40</w:t>
            </w:r>
            <w:r>
              <w:br/>
              <w:t xml:space="preserve">Толщина стали, доступная для </w:t>
            </w:r>
            <w:proofErr w:type="spellStart"/>
            <w:r>
              <w:t>рентгенографирования</w:t>
            </w:r>
            <w:proofErr w:type="spellEnd"/>
            <w:r>
              <w:t xml:space="preserve"> с помощью </w:t>
            </w:r>
            <w:proofErr w:type="spellStart"/>
            <w:r>
              <w:t>высоконтрастных</w:t>
            </w:r>
            <w:proofErr w:type="spellEnd"/>
            <w:r>
              <w:t xml:space="preserve"> рентгеновских пленок, мм - 20</w:t>
            </w:r>
            <w:r>
              <w:br/>
              <w:t>Диаметр фокусного пятна, мм - 3,0</w:t>
            </w:r>
            <w:r>
              <w:br/>
              <w:t>Напряжение питания - однофазная сеть переменного тока (220 ± 22) В, (50 ± 1) Гц батарея аккумуляторов (12 ± 3) В</w:t>
            </w:r>
            <w:r>
              <w:br/>
              <w:t>Потребляемая мощность, Вт, не более 300</w:t>
            </w:r>
            <w:r>
              <w:br/>
              <w:t>Масса и габаритные размеры составных частей, не более</w:t>
            </w:r>
            <w:r>
              <w:br/>
              <w:t>Рентгеновский блок масса</w:t>
            </w:r>
            <w:proofErr w:type="gramEnd"/>
            <w:r>
              <w:t xml:space="preserve">, </w:t>
            </w:r>
            <w:proofErr w:type="gramStart"/>
            <w:r>
              <w:t>кг</w:t>
            </w:r>
            <w:proofErr w:type="gramEnd"/>
            <w:r>
              <w:t xml:space="preserve"> не более 5,0</w:t>
            </w:r>
            <w:r>
              <w:br/>
              <w:t>длина, мм не более 405</w:t>
            </w:r>
            <w:r>
              <w:br/>
              <w:t>ширина, мм не более 116</w:t>
            </w:r>
            <w:r>
              <w:br/>
              <w:t>высота, мм  не более 205</w:t>
            </w:r>
            <w:r>
              <w:br/>
              <w:t>Пульт управления масса, кг не более 6,0</w:t>
            </w:r>
            <w:r>
              <w:br/>
              <w:t>длина, мм не более 320</w:t>
            </w:r>
            <w:r>
              <w:br/>
              <w:t>ширина, мм не более 260</w:t>
            </w:r>
            <w:r>
              <w:br/>
              <w:t>высота, мм не более160</w:t>
            </w:r>
            <w:r>
              <w:br/>
              <w:t>Комплект поставки:</w:t>
            </w:r>
            <w:r>
              <w:br/>
              <w:t>1.  Блок рентгеновский.</w:t>
            </w:r>
            <w:r>
              <w:br/>
              <w:t>2. Пульт управления.</w:t>
            </w:r>
            <w:r>
              <w:br/>
              <w:t>3. Кабель сетевой.</w:t>
            </w:r>
            <w:r>
              <w:br/>
              <w:t>4. Кабель высоковольтный.</w:t>
            </w:r>
            <w:r>
              <w:br/>
              <w:t>5. Кабель аккумуляторный.</w:t>
            </w:r>
            <w:r>
              <w:br/>
              <w:t>6. Комплект запасных частей, инструмента и принадлежностей в соответствии с ведомостью ЗИП.</w:t>
            </w:r>
            <w:r>
              <w:br/>
              <w:t>7. Комплект эксплуатационных документов: руководство по эксплуатации, паспорт, ведомость ЗИП.</w:t>
            </w:r>
            <w:r>
              <w:br/>
              <w:t>8. Футляр (2 шт.).</w:t>
            </w:r>
            <w:r>
              <w:br/>
            </w:r>
          </w:p>
        </w:tc>
      </w:tr>
      <w:tr w:rsidR="0029078E"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</w:tr>
      <w:tr w:rsidR="00736499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6499" w:rsidRDefault="0006490B">
            <w:pPr>
              <w:pStyle w:val="1CStyle19"/>
            </w:pPr>
            <w:r>
              <w:t>2.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6499" w:rsidRDefault="0006490B">
            <w:pPr>
              <w:pStyle w:val="1CStyle20"/>
              <w:jc w:val="left"/>
            </w:pPr>
            <w:r>
              <w:t>Условия поставки товаров</w:t>
            </w:r>
          </w:p>
        </w:tc>
      </w:tr>
      <w:tr w:rsidR="00736499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6499" w:rsidRDefault="0006490B">
            <w:pPr>
              <w:pStyle w:val="1CStyle21"/>
            </w:pPr>
            <w:r>
              <w:t>Грузополучатель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5"/>
              <w:jc w:val="left"/>
            </w:pPr>
            <w:r>
              <w:t>АО "Газпром газораспределение Брянск"</w:t>
            </w:r>
          </w:p>
        </w:tc>
      </w:tr>
      <w:tr w:rsidR="00736499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6499" w:rsidRDefault="0006490B">
            <w:pPr>
              <w:pStyle w:val="1CStyle21"/>
            </w:pPr>
            <w:r>
              <w:t>Место (адрес)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22"/>
              <w:jc w:val="left"/>
            </w:pPr>
            <w:r>
              <w:t>241033, г. Брянск, ул. Щукина д. 54</w:t>
            </w:r>
          </w:p>
        </w:tc>
      </w:tr>
      <w:tr w:rsidR="00736499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6499" w:rsidRDefault="0006490B">
            <w:pPr>
              <w:pStyle w:val="1CStyle21"/>
            </w:pPr>
            <w:r>
              <w:t>Обязательное требование к сроку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22"/>
              <w:jc w:val="left"/>
            </w:pPr>
            <w:r>
              <w:t>Строго в соответствии с графиком поставки товара:</w:t>
            </w:r>
          </w:p>
        </w:tc>
      </w:tr>
      <w:tr w:rsidR="0029078E"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</w:tr>
      <w:tr w:rsidR="00736499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6499" w:rsidRDefault="0006490B">
            <w:pPr>
              <w:pStyle w:val="1CStyle19"/>
            </w:pPr>
            <w:r>
              <w:t>2.1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6499" w:rsidRDefault="0006490B">
            <w:pPr>
              <w:pStyle w:val="1CStyle23"/>
              <w:jc w:val="left"/>
            </w:pPr>
            <w:r>
              <w:t>График поставки</w:t>
            </w:r>
          </w:p>
        </w:tc>
      </w:tr>
      <w:tr w:rsidR="00736499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7"/>
            </w:pPr>
            <w:r>
              <w:t>Наименование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12"/>
            </w:pPr>
            <w:r>
              <w:t>Срок поставки товара на склад грузополучателя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11"/>
            </w:pPr>
            <w:r>
              <w:t>Место (адрес) поставки товара</w:t>
            </w:r>
          </w:p>
        </w:tc>
      </w:tr>
      <w:tr w:rsidR="00736499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24"/>
            </w:pPr>
            <w:r>
              <w:t>1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25"/>
              <w:jc w:val="left"/>
            </w:pPr>
            <w:r>
              <w:t>Рентгеновский аппарат ПАМИР-200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26"/>
            </w:pPr>
            <w:r>
              <w:t>от  15 до 30 календарных дней со дня заключения договора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27"/>
            </w:pPr>
            <w:r>
              <w:t>1,000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28"/>
            </w:pPr>
            <w:r>
              <w:t>Штука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25"/>
              <w:jc w:val="left"/>
            </w:pPr>
            <w:r>
              <w:t>241033, г. Брянск, ул. Щукина д. 54</w:t>
            </w:r>
          </w:p>
        </w:tc>
      </w:tr>
      <w:tr w:rsidR="0029078E"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36499" w:rsidRDefault="00736499">
            <w:pPr>
              <w:pStyle w:val="1CStyle0"/>
            </w:pPr>
          </w:p>
        </w:tc>
      </w:tr>
      <w:tr w:rsidR="00736499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6499" w:rsidRDefault="0006490B">
            <w:pPr>
              <w:pStyle w:val="1CStyle19"/>
            </w:pPr>
            <w:r>
              <w:t>3.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6499" w:rsidRDefault="0006490B">
            <w:pPr>
              <w:pStyle w:val="1CStyle23"/>
              <w:jc w:val="left"/>
            </w:pPr>
            <w:r>
              <w:t>Условия проведения закупочной процедуры.</w:t>
            </w:r>
          </w:p>
        </w:tc>
      </w:tr>
      <w:tr w:rsidR="00736499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29"/>
              <w:jc w:val="left"/>
            </w:pPr>
            <w:r>
              <w:t>Начальная (максимальная)  цена предмета закупки для участников, не освобожденных от уплаты НДС (с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30"/>
            </w:pPr>
            <w:r>
              <w:t>242 100,00</w:t>
            </w:r>
          </w:p>
        </w:tc>
        <w:tc>
          <w:tcPr>
            <w:tcW w:w="2312" w:type="dxa"/>
            <w:gridSpan w:val="8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  <w:tr w:rsidR="00736499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29"/>
              <w:jc w:val="left"/>
            </w:pPr>
            <w:r>
              <w:t>В том числе НДС,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30"/>
            </w:pPr>
            <w:r>
              <w:t>36 930,51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  <w:tr w:rsidR="00736499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29"/>
              <w:jc w:val="left"/>
            </w:pPr>
            <w:r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33"/>
            </w:pPr>
            <w:r>
              <w:t>205 169,49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6499" w:rsidRDefault="0006490B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</w:tbl>
    <w:p w:rsidR="0009515D" w:rsidRDefault="0009515D"/>
    <w:sectPr w:rsidR="0009515D" w:rsidSect="000649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99"/>
    <w:rsid w:val="0006490B"/>
    <w:rsid w:val="0009515D"/>
    <w:rsid w:val="0029078E"/>
    <w:rsid w:val="0073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31">
    <w:name w:val="1CStyle31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9">
    <w:name w:val="1CStyle29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0"/>
    </w:rPr>
  </w:style>
  <w:style w:type="paragraph" w:customStyle="1" w:styleId="1CStyle32">
    <w:name w:val="1CStyle32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20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30">
    <w:name w:val="1CStyle30"/>
    <w:pPr>
      <w:jc w:val="center"/>
    </w:pPr>
    <w:rPr>
      <w:rFonts w:ascii="Times New Roman" w:hAnsi="Times New Roman"/>
    </w:rPr>
  </w:style>
  <w:style w:type="paragraph" w:customStyle="1" w:styleId="1CStyle33">
    <w:name w:val="1CStyle33"/>
    <w:pPr>
      <w:jc w:val="center"/>
    </w:pPr>
    <w:rPr>
      <w:rFonts w:ascii="Times New Roman" w:hAnsi="Times New Roman"/>
    </w:rPr>
  </w:style>
  <w:style w:type="paragraph" w:customStyle="1" w:styleId="1CStyle27">
    <w:name w:val="1CStyle27"/>
    <w:pPr>
      <w:jc w:val="right"/>
    </w:pPr>
    <w:rPr>
      <w:rFonts w:ascii="Times New Roman" w:hAnsi="Times New Roman"/>
      <w:sz w:val="20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31">
    <w:name w:val="1CStyle31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9">
    <w:name w:val="1CStyle29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0"/>
    </w:rPr>
  </w:style>
  <w:style w:type="paragraph" w:customStyle="1" w:styleId="1CStyle32">
    <w:name w:val="1CStyle32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20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30">
    <w:name w:val="1CStyle30"/>
    <w:pPr>
      <w:jc w:val="center"/>
    </w:pPr>
    <w:rPr>
      <w:rFonts w:ascii="Times New Roman" w:hAnsi="Times New Roman"/>
    </w:rPr>
  </w:style>
  <w:style w:type="paragraph" w:customStyle="1" w:styleId="1CStyle33">
    <w:name w:val="1CStyle33"/>
    <w:pPr>
      <w:jc w:val="center"/>
    </w:pPr>
    <w:rPr>
      <w:rFonts w:ascii="Times New Roman" w:hAnsi="Times New Roman"/>
    </w:rPr>
  </w:style>
  <w:style w:type="paragraph" w:customStyle="1" w:styleId="1CStyle27">
    <w:name w:val="1CStyle27"/>
    <w:pPr>
      <w:jc w:val="right"/>
    </w:pPr>
    <w:rPr>
      <w:rFonts w:ascii="Times New Roman" w:hAnsi="Times New Roman"/>
      <w:sz w:val="20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Осташук Ирина Александровна</dc:creator>
  <cp:lastModifiedBy>Осташук Ирина Александровна</cp:lastModifiedBy>
  <cp:revision>2</cp:revision>
  <dcterms:created xsi:type="dcterms:W3CDTF">2017-01-25T11:17:00Z</dcterms:created>
  <dcterms:modified xsi:type="dcterms:W3CDTF">2017-01-25T11:17:00Z</dcterms:modified>
</cp:coreProperties>
</file>